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8831C" w14:textId="77777777" w:rsidR="000B1B54" w:rsidRPr="000B1B54" w:rsidRDefault="000B1B54" w:rsidP="000B1B54">
      <w:pPr>
        <w:shd w:val="clear" w:color="auto" w:fill="FFFFFF"/>
        <w:spacing w:after="0" w:line="240" w:lineRule="auto"/>
        <w:outlineLvl w:val="1"/>
        <w:rPr>
          <w:rFonts w:eastAsia="Times New Roman" w:cs="Arial"/>
          <w:color w:val="222222"/>
          <w:sz w:val="43"/>
          <w:szCs w:val="43"/>
        </w:rPr>
      </w:pPr>
      <w:bookmarkStart w:id="0" w:name="_GoBack"/>
      <w:r w:rsidRPr="000B1B54">
        <w:rPr>
          <w:rFonts w:eastAsia="Times New Roman" w:cs="Arial"/>
          <w:color w:val="222222"/>
          <w:sz w:val="43"/>
          <w:szCs w:val="43"/>
        </w:rPr>
        <w:t>ID Renewal</w:t>
      </w:r>
    </w:p>
    <w:p w14:paraId="2C5AA363" w14:textId="77777777" w:rsidR="000B1B54" w:rsidRPr="000B1B54" w:rsidRDefault="000B1B54" w:rsidP="000B1B54">
      <w:p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ID Renewal Requirements</w:t>
      </w:r>
    </w:p>
    <w:p w14:paraId="2C3ADB1E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The classified companies and contractors prior to the Regulation Number (1) of (2007) must meet the following requirements:</w:t>
      </w:r>
    </w:p>
    <w:p w14:paraId="68F4D2AE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Support letter from the ministry of trade/general directorate of company registration.</w:t>
      </w:r>
    </w:p>
    <w:p w14:paraId="134353AD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Present evidence of financial ability appropriate to the applicable grade.</w:t>
      </w:r>
    </w:p>
    <w:p w14:paraId="18EDCDFF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Relevant Syndicates’ support letters for engineers, accountants and legal advisors; appropriate for the applicable grade.</w:t>
      </w:r>
    </w:p>
    <w:p w14:paraId="76046150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Support letter from the Lawyers’ Syndicate.</w:t>
      </w:r>
    </w:p>
    <w:p w14:paraId="21162450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Returning the expired classification ID. If lost, must take all the necessary procedures and publish an advert in a local newspaper.</w:t>
      </w:r>
    </w:p>
    <w:p w14:paraId="697BDA6A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Presenting implemented works directly by the company in the last three year.</w:t>
      </w:r>
    </w:p>
    <w:p w14:paraId="4F770E0A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 The classified companies and contractors in accordance with Regulation Number (1) of (2007) must meet the following requirements</w:t>
      </w:r>
    </w:p>
    <w:p w14:paraId="2562874D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Companies</w:t>
      </w:r>
    </w:p>
    <w:p w14:paraId="4FED5D81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Evidence of re-registration of the company’s branch in the ministry of trade/general directorate of company registration.</w:t>
      </w:r>
    </w:p>
    <w:p w14:paraId="6028F11B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Preparing engineering, accounting and legal advisory units appropriate to the grade and in accordance with Regulation Number (1) of (2007).</w:t>
      </w:r>
    </w:p>
    <w:p w14:paraId="1DB69172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Returning the expired classification ID. If lost, must take all the necessary procedures and publish an advert in a local newspaper.</w:t>
      </w:r>
    </w:p>
    <w:p w14:paraId="7FF686D2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Presenting documentation on the implemented work after August 2007, including (work contract project finalization memo) otherwise legitimate justification must be presented.</w:t>
      </w:r>
      <w:r w:rsidRPr="000B1B54">
        <w:rPr>
          <w:rFonts w:eastAsia="Times New Roman" w:cs="Arial"/>
          <w:color w:val="4A4949"/>
          <w:sz w:val="20"/>
          <w:szCs w:val="20"/>
        </w:rPr>
        <w:br/>
        <w:t> </w:t>
      </w:r>
    </w:p>
    <w:p w14:paraId="2F9F2046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Contractor (natural person)</w:t>
      </w:r>
    </w:p>
    <w:p w14:paraId="06A5EC2F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Support letter from the Contractors Union or presenting the Union membership ID.</w:t>
      </w:r>
    </w:p>
    <w:p w14:paraId="266276E1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Preparing engineering, accounting and legal advisory units appropriate to the grade and in accordance with Regulation Number (1) of (2007).</w:t>
      </w:r>
    </w:p>
    <w:p w14:paraId="2A776B3C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Returning the expired classification ID. If lost, must take all the necessary procedures and publish an advert in a local newspaper.</w:t>
      </w:r>
    </w:p>
    <w:p w14:paraId="425999F0" w14:textId="77777777" w:rsidR="000B1B54" w:rsidRPr="000B1B54" w:rsidRDefault="000B1B54" w:rsidP="000B1B54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eastAsia="Times New Roman" w:cs="Arial"/>
          <w:color w:val="4A4949"/>
          <w:sz w:val="19"/>
          <w:szCs w:val="19"/>
        </w:rPr>
      </w:pPr>
      <w:r w:rsidRPr="000B1B54">
        <w:rPr>
          <w:rFonts w:eastAsia="Times New Roman" w:cs="Arial"/>
          <w:color w:val="4A4949"/>
          <w:sz w:val="20"/>
          <w:szCs w:val="20"/>
        </w:rPr>
        <w:t>    Presenting documentation on the implemented work after August 2007, including (work contract project finalization memo) otherwise legitimate justification must be presented.</w:t>
      </w:r>
    </w:p>
    <w:bookmarkEnd w:id="0"/>
    <w:p w14:paraId="322918C3" w14:textId="77777777" w:rsidR="0015018E" w:rsidRPr="000B1B54" w:rsidRDefault="0015018E"/>
    <w:sectPr w:rsidR="0015018E" w:rsidRPr="000B1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67F82"/>
    <w:multiLevelType w:val="multilevel"/>
    <w:tmpl w:val="E1668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802"/>
    <w:rsid w:val="000B1B54"/>
    <w:rsid w:val="0015018E"/>
    <w:rsid w:val="005D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57679"/>
  <w15:chartTrackingRefBased/>
  <w15:docId w15:val="{ED91CE47-6C07-4944-8426-B86C5E45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B1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1B5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2</cp:revision>
  <dcterms:created xsi:type="dcterms:W3CDTF">2020-02-24T09:40:00Z</dcterms:created>
  <dcterms:modified xsi:type="dcterms:W3CDTF">2020-02-24T09:41:00Z</dcterms:modified>
</cp:coreProperties>
</file>